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sz w:val="28"/>
          <w:szCs w:val="28"/>
        </w:rPr>
      </w:pPr>
      <w:bookmarkStart w:colFirst="0" w:colLast="0" w:name="_heading=h.fs66k2qruk02" w:id="0"/>
      <w:bookmarkEnd w:id="0"/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       Social Skills Assessments</w:t>
      </w:r>
    </w:p>
    <w:tbl>
      <w:tblPr>
        <w:tblStyle w:val="Table1"/>
        <w:tblW w:w="1297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48"/>
        <w:gridCol w:w="2790"/>
        <w:gridCol w:w="900"/>
        <w:gridCol w:w="2340"/>
        <w:gridCol w:w="1710"/>
        <w:gridCol w:w="2790"/>
        <w:tblGridChange w:id="0">
          <w:tblGrid>
            <w:gridCol w:w="2448"/>
            <w:gridCol w:w="2790"/>
            <w:gridCol w:w="900"/>
            <w:gridCol w:w="2340"/>
            <w:gridCol w:w="1710"/>
            <w:gridCol w:w="27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Name of Instrument</w:t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Description/Purpose/Use</w:t>
            </w:r>
          </w:p>
        </w:tc>
        <w:tc>
          <w:tcPr/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Ages</w:t>
            </w:r>
          </w:p>
        </w:tc>
        <w:tc>
          <w:tcPr/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Method(s)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Administration</w:t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Ordering Information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Social Skills Rating System (SSRS) (Gresham &amp; Elliott, 1990)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Screens and classifies children suspected of having social behavioral problems.  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Teacher form assesses skills in Cooperation, Assertion, and Self -control and a separate section for problem behaviors and academic competence.  Parent version assesses Cooperation, Assertion, Responsibility,  and Self-control. Student version assesses Cooperation, Assertion, Empathy, and Self-control.  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3-18 years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Teacher, parent and student questionnaires.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Teacher and Parent forms for grades Preschool, K-6, 6-12</w:t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Student form for grades 3-6, 7-12</w:t>
            </w:r>
          </w:p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20-25 min/student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Publishing Company = Pearson</w:t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School Social Behavior Scales (SSBS) (Merrell, 1993)</w:t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Calibri" w:cs="Calibri" w:eastAsia="Calibri" w:hAnsi="Calibri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Provides screening, assessment, identification, and intervention planning for social competence and antisocial behavior of children and youth.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6"/>
                <w:szCs w:val="1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Calibri" w:cs="Calibri" w:eastAsia="Calibri" w:hAnsi="Calibri"/>
                <w:i w:val="1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333333"/>
                <w:sz w:val="16"/>
                <w:szCs w:val="16"/>
                <w:rtl w:val="0"/>
              </w:rPr>
              <w:t xml:space="preserve">Social Competence — </w:t>
            </w:r>
            <w:r w:rsidDel="00000000" w:rsidR="00000000" w:rsidRPr="00000000">
              <w:rPr>
                <w:rFonts w:ascii="Calibri" w:cs="Calibri" w:eastAsia="Calibri" w:hAnsi="Calibri"/>
                <w:color w:val="333333"/>
                <w:sz w:val="16"/>
                <w:szCs w:val="16"/>
                <w:rtl w:val="0"/>
              </w:rPr>
              <w:t xml:space="preserve">32 items that measure adaptive prosocial skills, and includes three subscales: Peer Relations, Self-Management/ Compliance and Academic Behavior.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333333"/>
                <w:sz w:val="16"/>
                <w:szCs w:val="16"/>
                <w:rtl w:val="0"/>
              </w:rPr>
              <w:t xml:space="preserve">Antisocial Behavior — </w:t>
            </w:r>
            <w:r w:rsidDel="00000000" w:rsidR="00000000" w:rsidRPr="00000000">
              <w:rPr>
                <w:rFonts w:ascii="Calibri" w:cs="Calibri" w:eastAsia="Calibri" w:hAnsi="Calibri"/>
                <w:color w:val="333333"/>
                <w:sz w:val="16"/>
                <w:szCs w:val="16"/>
                <w:rtl w:val="0"/>
              </w:rPr>
              <w:t xml:space="preserve">32 items that measure socially relevant problem behaviors through three subscales: Hostile/Irritable, Antisocial-Aggressive, and Defiant/Disruptive.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5-18 years</w:t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Teacher questionnaire</w:t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5-10 min/student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Publishing Company = Stoelting Co</w:t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Walker – McConnell Scale of Social Competence and School Adjustment for Adolescents (McConnell, 1995)</w:t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Four </w:t>
            </w: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subscales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 (Self Control, Peer Relations, School Adjustment, and Empathy) totaling 53 items across the four </w:t>
            </w: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subscales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Grades 7-12</w:t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Teacher questionnaire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10 min/student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Publishing Company =  Wadsworth Publishing</w:t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The Social-Emotional Assets </w:t>
              <w:br w:type="textWrapping"/>
              <w:t xml:space="preserve">and Resilience Scales (SEARS) (Oregon Resiliency Project, 2011)</w:t>
            </w:r>
          </w:p>
        </w:tc>
        <w:tc>
          <w:tcPr/>
          <w:p w:rsidR="00000000" w:rsidDel="00000000" w:rsidP="00000000" w:rsidRDefault="00000000" w:rsidRPr="00000000" w14:paraId="00000039">
            <w:pPr>
              <w:widowControl w:val="0"/>
              <w:tabs>
                <w:tab w:val="left" w:leader="none" w:pos="560"/>
                <w:tab w:val="left" w:leader="none" w:pos="1120"/>
                <w:tab w:val="left" w:leader="none" w:pos="1680"/>
                <w:tab w:val="left" w:leader="none" w:pos="2240"/>
                <w:tab w:val="left" w:leader="none" w:pos="2800"/>
                <w:tab w:val="left" w:leader="none" w:pos="3360"/>
                <w:tab w:val="left" w:leader="none" w:pos="3920"/>
                <w:tab w:val="left" w:leader="none" w:pos="4480"/>
                <w:tab w:val="left" w:leader="none" w:pos="5040"/>
                <w:tab w:val="left" w:leader="none" w:pos="5600"/>
                <w:tab w:val="left" w:leader="none" w:pos="6160"/>
                <w:tab w:val="left" w:leader="none" w:pos="6720"/>
              </w:tabs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SEARS rating scales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include</w:t>
            </w: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 items related to the following clusters of social-emotional assets: Responsibility, Self-Regulation, Social Competence, and Empathy.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Grades 3-6 and 7-12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Teacher, Parent, and Student questionnaire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10-15 min/student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Publishing Company =PAR Assessment Publishing</w:t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www.parinc.com</w:t>
            </w:r>
          </w:p>
        </w:tc>
      </w:tr>
    </w:tbl>
    <w:p w:rsidR="00000000" w:rsidDel="00000000" w:rsidP="00000000" w:rsidRDefault="00000000" w:rsidRPr="00000000" w14:paraId="00000044">
      <w:pPr>
        <w:spacing w:after="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-881062</wp:posOffset>
                </wp:positionH>
                <wp:positionV relativeFrom="paragraph">
                  <wp:posOffset>190500</wp:posOffset>
                </wp:positionV>
                <wp:extent cx="8062913" cy="952500"/>
                <wp:effectExtent b="0" l="0" r="0" t="0"/>
                <wp:wrapNone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459800" y="3314400"/>
                          <a:ext cx="8062913" cy="952500"/>
                          <a:chOff x="1459800" y="3314400"/>
                          <a:chExt cx="7772400" cy="931200"/>
                        </a:xfrm>
                      </wpg:grpSpPr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14400"/>
                            <a:chExt cx="7772400" cy="9312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459800" y="3314400"/>
                              <a:ext cx="7772400" cy="931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14416"/>
                              <a:ext cx="7772400" cy="931168"/>
                              <a:chOff x="1459800" y="3322800"/>
                              <a:chExt cx="7772400" cy="9144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1459800" y="332280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459800" y="3322800"/>
                                <a:ext cx="7772400" cy="914400"/>
                                <a:chOff x="0" y="0"/>
                                <a:chExt cx="7772400" cy="9144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9" name="Shape 9"/>
                                <pic:cNvPicPr preferRelativeResize="0"/>
                              </pic:nvPicPr>
                              <pic:blipFill rotWithShape="1">
                                <a:blip r:embed="rId7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0" y="0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-881062</wp:posOffset>
                </wp:positionH>
                <wp:positionV relativeFrom="paragraph">
                  <wp:posOffset>190500</wp:posOffset>
                </wp:positionV>
                <wp:extent cx="8062913" cy="95250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62913" cy="952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footerReference r:id="rId9" w:type="default"/>
      <w:pgSz w:h="12240" w:w="15840" w:orient="landscape"/>
      <w:pgMar w:bottom="720" w:top="144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jc w:val="center"/>
      <w:rPr>
        <w:i w:val="1"/>
        <w:color w:val="000000"/>
        <w:sz w:val="20"/>
        <w:szCs w:val="20"/>
      </w:rPr>
    </w:pPr>
    <w:r w:rsidDel="00000000" w:rsidR="00000000" w:rsidRPr="00000000">
      <w:rPr>
        <w:color w:val="000000"/>
        <w:rtl w:val="0"/>
      </w:rPr>
      <w:t xml:space="preserve">  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C60323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60323"/>
  </w:style>
  <w:style w:type="paragraph" w:styleId="Footer">
    <w:name w:val="footer"/>
    <w:basedOn w:val="Normal"/>
    <w:link w:val="FooterChar"/>
    <w:uiPriority w:val="99"/>
    <w:unhideWhenUsed w:val="1"/>
    <w:rsid w:val="00C60323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6032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fontTable" Target="fontTable.xml"/><Relationship Id="rId7" Type="http://schemas.openxmlformats.org/officeDocument/2006/relationships/image" Target="media/image2.jp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MZvUHLoUHg7sLEYnO8M/eeruFA==">CgMxLjAyDmguZnM2NmsycXJ1azAyOAByITFWYTV0Q1NORnVYTWJfTWF2VGI1ei1EYkVCS3M5WGU5dQ==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42D1881-52A2-437B-870E-023BCD1B1670}"/>
</file>

<file path=customXML/itemProps3.xml><?xml version="1.0" encoding="utf-8"?>
<ds:datastoreItem xmlns:ds="http://schemas.openxmlformats.org/officeDocument/2006/customXml" ds:itemID="{46B369AF-CD81-4981-8F9E-81E98BC6067C}"/>
</file>

<file path=customXML/itemProps4.xml><?xml version="1.0" encoding="utf-8"?>
<ds:datastoreItem xmlns:ds="http://schemas.openxmlformats.org/officeDocument/2006/customXml" ds:itemID="{C8912441-6B25-45B1-A8F1-E143C7418F88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2025-05-19T17:31:00Z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